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0E1" w:rsidRPr="00E376CB" w:rsidRDefault="00860933">
      <w:pPr>
        <w:contextualSpacing w:val="0"/>
        <w:jc w:val="center"/>
        <w:rPr>
          <w:b/>
          <w:sz w:val="24"/>
          <w:szCs w:val="24"/>
        </w:rPr>
      </w:pPr>
      <w:r>
        <w:rPr>
          <w:b/>
          <w:sz w:val="24"/>
          <w:szCs w:val="24"/>
          <w:lang w:bidi="es-ES"/>
        </w:rPr>
        <w:t>P</w:t>
      </w:r>
      <w:r w:rsidRPr="00860933">
        <w:rPr>
          <w:b/>
          <w:sz w:val="24"/>
          <w:szCs w:val="24"/>
          <w:lang w:bidi="es-ES"/>
        </w:rPr>
        <w:t xml:space="preserve">lataforma de visualización de indicadores </w:t>
      </w:r>
      <w:r w:rsidR="00127445" w:rsidRPr="00E376CB">
        <w:rPr>
          <w:b/>
          <w:sz w:val="24"/>
          <w:szCs w:val="24"/>
          <w:lang w:bidi="es-ES"/>
        </w:rPr>
        <w:t xml:space="preserve">de la </w:t>
      </w:r>
      <w:r w:rsidRPr="00860933">
        <w:rPr>
          <w:b/>
          <w:sz w:val="24"/>
          <w:szCs w:val="24"/>
          <w:lang w:bidi="es-ES"/>
        </w:rPr>
        <w:t>Asociación de Indicadores de Biodiversidad</w:t>
      </w:r>
      <w:r>
        <w:rPr>
          <w:b/>
          <w:sz w:val="24"/>
          <w:szCs w:val="24"/>
          <w:lang w:bidi="es-ES"/>
        </w:rPr>
        <w:t xml:space="preserve"> – BIP </w:t>
      </w:r>
      <w:proofErr w:type="spellStart"/>
      <w:r>
        <w:rPr>
          <w:b/>
          <w:sz w:val="24"/>
          <w:szCs w:val="24"/>
          <w:lang w:bidi="es-ES"/>
        </w:rPr>
        <w:t>Dashboard</w:t>
      </w:r>
      <w:proofErr w:type="spellEnd"/>
      <w:r>
        <w:rPr>
          <w:b/>
          <w:sz w:val="24"/>
          <w:szCs w:val="24"/>
          <w:lang w:bidi="es-ES"/>
        </w:rPr>
        <w:t xml:space="preserve"> </w:t>
      </w:r>
    </w:p>
    <w:p w:rsidR="005E30E1" w:rsidRDefault="00127445">
      <w:pPr>
        <w:contextualSpacing w:val="0"/>
        <w:jc w:val="center"/>
        <w:rPr>
          <w:sz w:val="24"/>
          <w:szCs w:val="24"/>
        </w:rPr>
      </w:pPr>
      <w:r>
        <w:rPr>
          <w:sz w:val="24"/>
          <w:szCs w:val="24"/>
          <w:lang w:bidi="es-ES"/>
        </w:rPr>
        <w:t>Seguimiento de tendencias</w:t>
      </w:r>
      <w:r w:rsidR="00860933">
        <w:rPr>
          <w:sz w:val="24"/>
          <w:szCs w:val="24"/>
          <w:lang w:bidi="es-ES"/>
        </w:rPr>
        <w:t xml:space="preserve"> de biodiversidad</w:t>
      </w:r>
      <w:r>
        <w:rPr>
          <w:sz w:val="24"/>
          <w:szCs w:val="24"/>
          <w:lang w:bidi="es-ES"/>
        </w:rPr>
        <w:t xml:space="preserve"> para</w:t>
      </w:r>
      <w:r w:rsidR="00860933">
        <w:rPr>
          <w:sz w:val="24"/>
          <w:szCs w:val="24"/>
          <w:lang w:bidi="es-ES"/>
        </w:rPr>
        <w:t xml:space="preserve"> apoyar</w:t>
      </w:r>
      <w:r>
        <w:rPr>
          <w:sz w:val="24"/>
          <w:szCs w:val="24"/>
          <w:lang w:bidi="es-ES"/>
        </w:rPr>
        <w:t xml:space="preserve"> la conservación</w:t>
      </w:r>
    </w:p>
    <w:p w:rsidR="005E30E1" w:rsidRDefault="005E30E1">
      <w:pPr>
        <w:contextualSpacing w:val="0"/>
        <w:jc w:val="both"/>
        <w:rPr>
          <w:sz w:val="24"/>
          <w:szCs w:val="24"/>
        </w:rPr>
      </w:pPr>
    </w:p>
    <w:p w:rsidR="005E30E1" w:rsidRDefault="00127445">
      <w:pPr>
        <w:contextualSpacing w:val="0"/>
        <w:jc w:val="both"/>
        <w:rPr>
          <w:sz w:val="24"/>
          <w:szCs w:val="24"/>
        </w:rPr>
      </w:pPr>
      <w:r>
        <w:rPr>
          <w:sz w:val="24"/>
          <w:szCs w:val="24"/>
          <w:lang w:bidi="es-ES"/>
        </w:rPr>
        <w:t xml:space="preserve"> </w:t>
      </w:r>
    </w:p>
    <w:p w:rsidR="005E30E1" w:rsidRPr="008D2AA5" w:rsidRDefault="00860933" w:rsidP="00860933">
      <w:pPr>
        <w:contextualSpacing w:val="0"/>
        <w:rPr>
          <w:sz w:val="24"/>
          <w:szCs w:val="24"/>
        </w:rPr>
      </w:pPr>
      <w:r>
        <w:rPr>
          <w:sz w:val="24"/>
          <w:szCs w:val="24"/>
          <w:lang w:bidi="es-ES"/>
        </w:rPr>
        <w:t>Para alimentar sus Sextos Informes N</w:t>
      </w:r>
      <w:r w:rsidR="00127445" w:rsidRPr="008D2AA5">
        <w:rPr>
          <w:sz w:val="24"/>
          <w:szCs w:val="24"/>
          <w:lang w:bidi="es-ES"/>
        </w:rPr>
        <w:t>acionales</w:t>
      </w:r>
      <w:r>
        <w:rPr>
          <w:sz w:val="24"/>
          <w:szCs w:val="24"/>
          <w:lang w:bidi="es-ES"/>
        </w:rPr>
        <w:t xml:space="preserve"> (6IN)</w:t>
      </w:r>
      <w:r w:rsidR="00127445" w:rsidRPr="008D2AA5">
        <w:rPr>
          <w:sz w:val="24"/>
          <w:szCs w:val="24"/>
          <w:lang w:bidi="es-ES"/>
        </w:rPr>
        <w:t xml:space="preserve">, los usuarios pueden acceder </w:t>
      </w:r>
      <w:r>
        <w:rPr>
          <w:sz w:val="24"/>
          <w:szCs w:val="24"/>
          <w:lang w:bidi="es-ES"/>
        </w:rPr>
        <w:t>la plataforma visualización de la Asociación de Indicadores de Biodiversidad (BIP por sus siglas en inglés)</w:t>
      </w:r>
      <w:r w:rsidR="00127445" w:rsidRPr="008D2AA5">
        <w:rPr>
          <w:sz w:val="24"/>
          <w:szCs w:val="24"/>
          <w:lang w:bidi="es-ES"/>
        </w:rPr>
        <w:t xml:space="preserve"> haciendo </w:t>
      </w:r>
      <w:r w:rsidR="00F61F34">
        <w:rPr>
          <w:sz w:val="24"/>
          <w:szCs w:val="24"/>
          <w:lang w:bidi="es-ES"/>
        </w:rPr>
        <w:t xml:space="preserve">un </w:t>
      </w:r>
      <w:r w:rsidR="00127445" w:rsidRPr="008D2AA5">
        <w:rPr>
          <w:sz w:val="24"/>
          <w:szCs w:val="24"/>
          <w:lang w:bidi="es-ES"/>
        </w:rPr>
        <w:t xml:space="preserve">clic en la </w:t>
      </w:r>
      <w:r w:rsidR="00F61F34">
        <w:rPr>
          <w:sz w:val="24"/>
          <w:szCs w:val="24"/>
          <w:lang w:bidi="es-ES"/>
        </w:rPr>
        <w:t>pestaña del panel de búsqueda (</w:t>
      </w:r>
      <w:proofErr w:type="spellStart"/>
      <w:r w:rsidR="00F61F34">
        <w:rPr>
          <w:sz w:val="24"/>
          <w:szCs w:val="24"/>
          <w:lang w:bidi="es-ES"/>
        </w:rPr>
        <w:t>D</w:t>
      </w:r>
      <w:r w:rsidR="00127445" w:rsidRPr="008D2AA5">
        <w:rPr>
          <w:sz w:val="24"/>
          <w:szCs w:val="24"/>
          <w:lang w:bidi="es-ES"/>
        </w:rPr>
        <w:t>ashboard</w:t>
      </w:r>
      <w:proofErr w:type="spellEnd"/>
      <w:r w:rsidR="00127445" w:rsidRPr="008D2AA5">
        <w:rPr>
          <w:sz w:val="24"/>
          <w:szCs w:val="24"/>
          <w:lang w:bidi="es-ES"/>
        </w:rPr>
        <w:t xml:space="preserve">) del sitio web </w:t>
      </w:r>
      <w:r w:rsidR="00F61F34">
        <w:rPr>
          <w:sz w:val="24"/>
          <w:szCs w:val="24"/>
          <w:lang w:bidi="es-ES"/>
        </w:rPr>
        <w:t xml:space="preserve">BIP </w:t>
      </w:r>
      <w:r w:rsidR="00127445" w:rsidRPr="008D2AA5">
        <w:rPr>
          <w:sz w:val="24"/>
          <w:szCs w:val="24"/>
          <w:lang w:bidi="es-ES"/>
        </w:rPr>
        <w:t>(</w:t>
      </w:r>
      <w:hyperlink r:id="rId4" w:history="1">
        <w:r w:rsidR="008D2AA5" w:rsidRPr="0025136B">
          <w:rPr>
            <w:rStyle w:val="Hyperlink"/>
            <w:sz w:val="24"/>
            <w:szCs w:val="24"/>
            <w:lang w:bidi="es-ES"/>
          </w:rPr>
          <w:t>https://www.bipindicators.net</w:t>
        </w:r>
      </w:hyperlink>
      <w:r w:rsidR="00127445" w:rsidRPr="008D2AA5">
        <w:rPr>
          <w:sz w:val="24"/>
          <w:szCs w:val="24"/>
          <w:lang w:bidi="es-ES"/>
        </w:rPr>
        <w:t xml:space="preserve">) o mediante el enlace directo </w:t>
      </w:r>
      <w:r w:rsidR="00F61F34">
        <w:rPr>
          <w:sz w:val="24"/>
          <w:szCs w:val="24"/>
          <w:lang w:bidi="es-ES"/>
        </w:rPr>
        <w:t>a la plataforma de visualización</w:t>
      </w:r>
      <w:r>
        <w:rPr>
          <w:sz w:val="24"/>
          <w:szCs w:val="24"/>
          <w:lang w:bidi="es-ES"/>
        </w:rPr>
        <w:t xml:space="preserve"> </w:t>
      </w:r>
      <w:r w:rsidR="00127445" w:rsidRPr="008D2AA5">
        <w:rPr>
          <w:sz w:val="24"/>
          <w:szCs w:val="24"/>
          <w:lang w:bidi="es-ES"/>
        </w:rPr>
        <w:t>(</w:t>
      </w:r>
      <w:hyperlink r:id="rId5" w:history="1">
        <w:r w:rsidR="009C2BC3" w:rsidRPr="008D2AA5">
          <w:rPr>
            <w:rStyle w:val="Hyperlink"/>
            <w:sz w:val="24"/>
            <w:szCs w:val="24"/>
            <w:lang w:bidi="es-ES"/>
          </w:rPr>
          <w:t>http://bipdashboard.natureserve.org/bip</w:t>
        </w:r>
      </w:hyperlink>
      <w:r w:rsidR="00127445" w:rsidRPr="008D2AA5">
        <w:rPr>
          <w:sz w:val="24"/>
          <w:szCs w:val="24"/>
          <w:lang w:bidi="es-ES"/>
        </w:rPr>
        <w:t>).</w:t>
      </w:r>
    </w:p>
    <w:p w:rsidR="005E30E1" w:rsidRDefault="005E30E1">
      <w:pPr>
        <w:ind w:firstLine="720"/>
        <w:contextualSpacing w:val="0"/>
        <w:jc w:val="both"/>
        <w:rPr>
          <w:sz w:val="24"/>
          <w:szCs w:val="24"/>
        </w:rPr>
      </w:pPr>
    </w:p>
    <w:p w:rsidR="005E30E1" w:rsidRPr="008D2AA5" w:rsidRDefault="0081440A" w:rsidP="00127445">
      <w:pPr>
        <w:ind w:firstLine="720"/>
        <w:contextualSpacing w:val="0"/>
        <w:rPr>
          <w:rFonts w:eastAsia="Open Sans"/>
          <w:sz w:val="24"/>
          <w:szCs w:val="24"/>
        </w:rPr>
      </w:pPr>
      <w:r w:rsidRPr="008D2AA5">
        <w:rPr>
          <w:noProof/>
          <w:sz w:val="24"/>
          <w:szCs w:val="24"/>
          <w:lang w:val="en-GB" w:eastAsia="en-GB"/>
        </w:rPr>
        <w:drawing>
          <wp:anchor distT="114300" distB="114300" distL="114300" distR="114300" simplePos="0" relativeHeight="251658240" behindDoc="0" locked="0" layoutInCell="1" hidden="0" allowOverlap="1" wp14:anchorId="6031109E" wp14:editId="2EDAF63B">
            <wp:simplePos x="0" y="0"/>
            <wp:positionH relativeFrom="column">
              <wp:posOffset>4502150</wp:posOffset>
            </wp:positionH>
            <wp:positionV relativeFrom="paragraph">
              <wp:posOffset>13335</wp:posOffset>
            </wp:positionV>
            <wp:extent cx="2061845" cy="327787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61845" cy="3277870"/>
                    </a:xfrm>
                    <a:prstGeom prst="rect">
                      <a:avLst/>
                    </a:prstGeom>
                    <a:ln/>
                  </pic:spPr>
                </pic:pic>
              </a:graphicData>
            </a:graphic>
            <wp14:sizeRelH relativeFrom="margin">
              <wp14:pctWidth>0</wp14:pctWidth>
            </wp14:sizeRelH>
            <wp14:sizeRelV relativeFrom="margin">
              <wp14:pctHeight>0</wp14:pctHeight>
            </wp14:sizeRelV>
          </wp:anchor>
        </w:drawing>
      </w:r>
      <w:r w:rsidR="00127445" w:rsidRPr="008D2AA5">
        <w:rPr>
          <w:sz w:val="24"/>
          <w:szCs w:val="24"/>
          <w:lang w:bidi="es-ES"/>
        </w:rPr>
        <w:t>En la página principal, los usuarios</w:t>
      </w:r>
      <w:r w:rsidR="00127445" w:rsidRPr="008D2AA5">
        <w:rPr>
          <w:rFonts w:eastAsia="Open Sans"/>
          <w:sz w:val="24"/>
          <w:szCs w:val="24"/>
          <w:lang w:bidi="es-ES"/>
        </w:rPr>
        <w:t xml:space="preserve"> pueden acceder a los datos de los indicadores de biodiversidad por país y región. Los usuarios pueden introducir y seleccionar un país o bien examinar los indicadores abriendo el mapa</w:t>
      </w:r>
      <w:r w:rsidR="00167322">
        <w:rPr>
          <w:rFonts w:eastAsia="Open Sans"/>
          <w:sz w:val="24"/>
          <w:szCs w:val="24"/>
          <w:lang w:bidi="es-ES"/>
        </w:rPr>
        <w:t xml:space="preserve"> directamente. En </w:t>
      </w:r>
      <w:r w:rsidR="00127445" w:rsidRPr="008D2AA5">
        <w:rPr>
          <w:rFonts w:eastAsia="Open Sans"/>
          <w:sz w:val="24"/>
          <w:szCs w:val="24"/>
          <w:lang w:bidi="es-ES"/>
        </w:rPr>
        <w:t xml:space="preserve">la lista de países </w:t>
      </w:r>
      <w:r w:rsidR="00167322">
        <w:rPr>
          <w:rFonts w:eastAsia="Open Sans"/>
          <w:sz w:val="24"/>
          <w:szCs w:val="24"/>
          <w:lang w:bidi="es-ES"/>
        </w:rPr>
        <w:t xml:space="preserve">desplegable </w:t>
      </w:r>
      <w:r w:rsidR="00127445" w:rsidRPr="008D2AA5">
        <w:rPr>
          <w:rFonts w:eastAsia="Open Sans"/>
          <w:sz w:val="24"/>
          <w:szCs w:val="24"/>
          <w:lang w:bidi="es-ES"/>
        </w:rPr>
        <w:t xml:space="preserve">de la página principal también se muestra </w:t>
      </w:r>
      <w:r w:rsidR="00167322">
        <w:rPr>
          <w:rFonts w:eastAsia="Open Sans"/>
          <w:sz w:val="24"/>
          <w:szCs w:val="24"/>
          <w:lang w:bidi="es-ES"/>
        </w:rPr>
        <w:t>el número de indicadores disponible</w:t>
      </w:r>
      <w:r w:rsidR="00127445" w:rsidRPr="008D2AA5">
        <w:rPr>
          <w:rFonts w:eastAsia="Open Sans"/>
          <w:sz w:val="24"/>
          <w:szCs w:val="24"/>
          <w:lang w:bidi="es-ES"/>
        </w:rPr>
        <w:t xml:space="preserve"> para cada país. </w:t>
      </w:r>
    </w:p>
    <w:p w:rsidR="005E30E1" w:rsidRPr="008D2AA5" w:rsidRDefault="005E30E1">
      <w:pPr>
        <w:ind w:firstLine="720"/>
        <w:contextualSpacing w:val="0"/>
        <w:jc w:val="both"/>
        <w:rPr>
          <w:rFonts w:eastAsia="Open Sans"/>
          <w:sz w:val="24"/>
          <w:szCs w:val="24"/>
        </w:rPr>
      </w:pPr>
    </w:p>
    <w:p w:rsidR="005E30E1" w:rsidRPr="008D2AA5" w:rsidRDefault="00127445" w:rsidP="00A207B7">
      <w:pPr>
        <w:ind w:firstLine="720"/>
        <w:contextualSpacing w:val="0"/>
        <w:rPr>
          <w:rFonts w:eastAsia="Open Sans"/>
          <w:sz w:val="24"/>
          <w:szCs w:val="24"/>
        </w:rPr>
      </w:pPr>
      <w:r w:rsidRPr="008D2AA5">
        <w:rPr>
          <w:rFonts w:eastAsia="Open Sans"/>
          <w:sz w:val="24"/>
          <w:szCs w:val="24"/>
          <w:lang w:bidi="es-ES"/>
        </w:rPr>
        <w:t>Una vez que se elige el país, se abre una página de selección de indicadores, en la que se puede buscar directamente un indicador concreto o hacer una búsqueda por temas (agricultura, hábitats marinos y de agua dulce, hábitats terrestres, medidas de conservación y de políticas, especies, etc.). Al abrir el desplegable de cada tema, junto a la lista de indicadores aparecen las etiquetas correspondientes de las Metas de Aichi para la Diversidad Biológica, los Objetivos de Desarrollo Sostenible (ODS) y los acuerdos multilaterales sobre el medio ambiente.</w:t>
      </w:r>
    </w:p>
    <w:p w:rsidR="00127445" w:rsidRDefault="00127445" w:rsidP="00127445">
      <w:pPr>
        <w:ind w:firstLine="720"/>
        <w:contextualSpacing w:val="0"/>
        <w:rPr>
          <w:rFonts w:ascii="Open Sans" w:eastAsia="Open Sans" w:hAnsi="Open Sans" w:cs="Open Sans"/>
          <w:sz w:val="24"/>
          <w:szCs w:val="24"/>
        </w:rPr>
      </w:pPr>
    </w:p>
    <w:p w:rsidR="005E30E1" w:rsidRPr="008D2AA5" w:rsidRDefault="0081440A" w:rsidP="0081440A">
      <w:pPr>
        <w:contextualSpacing w:val="0"/>
        <w:rPr>
          <w:rFonts w:eastAsia="Open Sans"/>
          <w:sz w:val="24"/>
          <w:szCs w:val="24"/>
        </w:rPr>
      </w:pPr>
      <w:r>
        <w:rPr>
          <w:noProof/>
          <w:lang w:val="en-GB" w:eastAsia="en-GB"/>
        </w:rPr>
        <w:drawing>
          <wp:anchor distT="114300" distB="114300" distL="114300" distR="114300" simplePos="0" relativeHeight="251659264" behindDoc="0" locked="0" layoutInCell="1" hidden="0" allowOverlap="1" wp14:anchorId="1718C9FE" wp14:editId="1E7FC3DD">
            <wp:simplePos x="0" y="0"/>
            <wp:positionH relativeFrom="margin">
              <wp:posOffset>2857500</wp:posOffset>
            </wp:positionH>
            <wp:positionV relativeFrom="paragraph">
              <wp:posOffset>300990</wp:posOffset>
            </wp:positionV>
            <wp:extent cx="3781425" cy="2457450"/>
            <wp:effectExtent l="0" t="0" r="9525"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781425" cy="2457450"/>
                    </a:xfrm>
                    <a:prstGeom prst="rect">
                      <a:avLst/>
                    </a:prstGeom>
                    <a:ln/>
                  </pic:spPr>
                </pic:pic>
              </a:graphicData>
            </a:graphic>
            <wp14:sizeRelH relativeFrom="margin">
              <wp14:pctWidth>0</wp14:pctWidth>
            </wp14:sizeRelH>
            <wp14:sizeRelV relativeFrom="margin">
              <wp14:pctHeight>0</wp14:pctHeight>
            </wp14:sizeRelV>
          </wp:anchor>
        </w:drawing>
      </w:r>
      <w:r w:rsidR="00C9703A">
        <w:rPr>
          <w:rFonts w:eastAsia="Open Sans"/>
          <w:sz w:val="24"/>
          <w:szCs w:val="24"/>
          <w:lang w:bidi="es-ES"/>
        </w:rPr>
        <w:t xml:space="preserve">Al seleccionar un </w:t>
      </w:r>
      <w:r w:rsidR="00127445" w:rsidRPr="008D2AA5">
        <w:rPr>
          <w:rFonts w:eastAsia="Open Sans"/>
          <w:sz w:val="24"/>
          <w:szCs w:val="24"/>
          <w:lang w:bidi="es-ES"/>
        </w:rPr>
        <w:t>indicador</w:t>
      </w:r>
      <w:r w:rsidR="00C9703A">
        <w:rPr>
          <w:rFonts w:eastAsia="Open Sans"/>
          <w:sz w:val="24"/>
          <w:szCs w:val="24"/>
          <w:lang w:bidi="es-ES"/>
        </w:rPr>
        <w:t>, se mostrará en el mapa el</w:t>
      </w:r>
      <w:r w:rsidR="00127445" w:rsidRPr="008D2AA5">
        <w:rPr>
          <w:rFonts w:eastAsia="Open Sans"/>
          <w:sz w:val="24"/>
          <w:szCs w:val="24"/>
          <w:lang w:bidi="es-ES"/>
        </w:rPr>
        <w:t xml:space="preserve"> país </w:t>
      </w:r>
      <w:r w:rsidR="00C9703A">
        <w:rPr>
          <w:rFonts w:eastAsia="Open Sans"/>
          <w:sz w:val="24"/>
          <w:szCs w:val="24"/>
          <w:lang w:bidi="es-ES"/>
        </w:rPr>
        <w:t>seleccionado</w:t>
      </w:r>
      <w:r w:rsidR="00127445" w:rsidRPr="008D2AA5">
        <w:rPr>
          <w:rFonts w:eastAsia="Open Sans"/>
          <w:sz w:val="24"/>
          <w:szCs w:val="24"/>
          <w:lang w:bidi="es-ES"/>
        </w:rPr>
        <w:t xml:space="preserve"> junto a un panel informativo que incluye un gráfico de series cronológicas. Se puede seleccionar visualizar el cambio anual del indicador o las mediciones más recientes. En el caso de los indicadores con datos subnacionales o de las cuencas hidrográficas (por ejemplo, el índice de conexión entre áreas protegidas), también se pueden visualizar las cuencas si se pulsa el botón «Show Basin» (mostrar cuencas) de la ventana del mapa. La cuenca o región elegida se mostrará con un gráfico de series cronológicas de los años disponibles, junto a una descripción del indicador y la posibilidad de descargarse la información visual, ya sea en un gráfico o en un mapa.</w:t>
      </w:r>
    </w:p>
    <w:p w:rsidR="005E30E1" w:rsidRDefault="00127445">
      <w:pPr>
        <w:ind w:firstLine="720"/>
        <w:contextualSpacing w:val="0"/>
        <w:jc w:val="center"/>
        <w:rPr>
          <w:rFonts w:ascii="Open Sans" w:eastAsia="Open Sans" w:hAnsi="Open Sans" w:cs="Open Sans"/>
          <w:sz w:val="24"/>
          <w:szCs w:val="24"/>
        </w:rPr>
      </w:pPr>
      <w:r>
        <w:rPr>
          <w:noProof/>
          <w:lang w:val="en-GB" w:eastAsia="en-GB"/>
        </w:rPr>
        <w:drawing>
          <wp:anchor distT="114300" distB="114300" distL="114300" distR="114300" simplePos="0" relativeHeight="251660288" behindDoc="0" locked="0" layoutInCell="1" hidden="0" allowOverlap="1" wp14:anchorId="6B5BBFF0" wp14:editId="39DF4410">
            <wp:simplePos x="0" y="0"/>
            <wp:positionH relativeFrom="column">
              <wp:posOffset>107951</wp:posOffset>
            </wp:positionH>
            <wp:positionV relativeFrom="paragraph">
              <wp:posOffset>222250</wp:posOffset>
            </wp:positionV>
            <wp:extent cx="6033112" cy="320992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033112" cy="3209925"/>
                    </a:xfrm>
                    <a:prstGeom prst="rect">
                      <a:avLst/>
                    </a:prstGeom>
                    <a:ln/>
                  </pic:spPr>
                </pic:pic>
              </a:graphicData>
            </a:graphic>
          </wp:anchor>
        </w:drawing>
      </w:r>
    </w:p>
    <w:p w:rsidR="005E30E1" w:rsidRDefault="008D2AA5" w:rsidP="008D2AA5">
      <w:pPr>
        <w:ind w:firstLine="720"/>
        <w:contextualSpacing w:val="0"/>
        <w:rPr>
          <w:rFonts w:eastAsia="Open Sans"/>
          <w:sz w:val="24"/>
          <w:szCs w:val="24"/>
          <w:lang w:bidi="es-ES"/>
        </w:rPr>
      </w:pPr>
      <w:r w:rsidRPr="0081440A">
        <w:rPr>
          <w:rFonts w:eastAsia="Open Sans"/>
          <w:sz w:val="24"/>
          <w:szCs w:val="24"/>
          <w:lang w:bidi="es-ES"/>
        </w:rPr>
        <w:t xml:space="preserve">Los usuarios también pueden obtener más información sobre el indicador si seleccionan la opción «Show/hide Description of the Indicator» (Mostrar/ocultar descripción del indicador) situada en la parte superior del panel de las series cronológicas. Se ofrece una breve descripción del indicador y un enlace a los metadatos desde el que </w:t>
      </w:r>
      <w:r w:rsidR="00C9703A">
        <w:rPr>
          <w:rFonts w:eastAsia="Open Sans"/>
          <w:sz w:val="24"/>
          <w:szCs w:val="24"/>
          <w:lang w:bidi="es-ES"/>
        </w:rPr>
        <w:t xml:space="preserve">se puede </w:t>
      </w:r>
      <w:r w:rsidRPr="0081440A">
        <w:rPr>
          <w:rFonts w:eastAsia="Open Sans"/>
          <w:sz w:val="24"/>
          <w:szCs w:val="24"/>
          <w:lang w:bidi="es-ES"/>
        </w:rPr>
        <w:t>acceder a información detallada sobre la metodología, las fuentes de los datos empleadas o las limitac</w:t>
      </w:r>
      <w:r w:rsidR="00C9703A">
        <w:rPr>
          <w:rFonts w:eastAsia="Open Sans"/>
          <w:sz w:val="24"/>
          <w:szCs w:val="24"/>
          <w:lang w:bidi="es-ES"/>
        </w:rPr>
        <w:t>iones del indicador</w:t>
      </w:r>
      <w:r w:rsidRPr="0081440A">
        <w:rPr>
          <w:rFonts w:eastAsia="Open Sans"/>
          <w:sz w:val="24"/>
          <w:szCs w:val="24"/>
          <w:lang w:bidi="es-ES"/>
        </w:rPr>
        <w:t>.</w:t>
      </w:r>
    </w:p>
    <w:p w:rsidR="00C9703A" w:rsidRDefault="00C9703A" w:rsidP="00C9703A">
      <w:pPr>
        <w:contextualSpacing w:val="0"/>
        <w:rPr>
          <w:rFonts w:eastAsia="Open Sans"/>
          <w:sz w:val="24"/>
          <w:szCs w:val="24"/>
        </w:rPr>
      </w:pPr>
    </w:p>
    <w:p w:rsidR="008D2AA5" w:rsidRPr="0081440A" w:rsidRDefault="008D2AA5" w:rsidP="00C9703A">
      <w:pPr>
        <w:contextualSpacing w:val="0"/>
        <w:rPr>
          <w:rFonts w:eastAsia="Open Sans"/>
          <w:sz w:val="24"/>
          <w:szCs w:val="24"/>
        </w:rPr>
      </w:pPr>
      <w:r w:rsidRPr="0081440A">
        <w:rPr>
          <w:rFonts w:eastAsia="Open Sans"/>
          <w:sz w:val="24"/>
          <w:szCs w:val="24"/>
          <w:lang w:bidi="es-ES"/>
        </w:rPr>
        <w:t>Por último,</w:t>
      </w:r>
      <w:r w:rsidR="00C9703A">
        <w:rPr>
          <w:rFonts w:eastAsia="Open Sans"/>
          <w:sz w:val="24"/>
          <w:szCs w:val="24"/>
          <w:lang w:bidi="es-ES"/>
        </w:rPr>
        <w:t xml:space="preserve"> los usuarios pueden descargar</w:t>
      </w:r>
      <w:r w:rsidRPr="0081440A">
        <w:rPr>
          <w:rFonts w:eastAsia="Open Sans"/>
          <w:sz w:val="24"/>
          <w:szCs w:val="24"/>
          <w:lang w:bidi="es-ES"/>
        </w:rPr>
        <w:t xml:space="preserve"> el mapa haciendo </w:t>
      </w:r>
      <w:r w:rsidR="00C9703A">
        <w:rPr>
          <w:rFonts w:eastAsia="Open Sans"/>
          <w:sz w:val="24"/>
          <w:szCs w:val="24"/>
          <w:lang w:bidi="es-ES"/>
        </w:rPr>
        <w:t xml:space="preserve">un </w:t>
      </w:r>
      <w:r w:rsidRPr="0081440A">
        <w:rPr>
          <w:rFonts w:eastAsia="Open Sans"/>
          <w:sz w:val="24"/>
          <w:szCs w:val="24"/>
          <w:lang w:bidi="es-ES"/>
        </w:rPr>
        <w:t>clic en el recuadro de la esquina inferior derecha de la pantalla, dentro de la ventana de la vista del mapa</w:t>
      </w:r>
      <w:r w:rsidR="00C9703A">
        <w:rPr>
          <w:rFonts w:eastAsia="Open Sans"/>
          <w:sz w:val="24"/>
          <w:szCs w:val="24"/>
          <w:lang w:bidi="es-ES"/>
        </w:rPr>
        <w:t xml:space="preserve"> </w:t>
      </w:r>
      <w:r w:rsidR="00C9703A" w:rsidRPr="0081440A">
        <w:rPr>
          <w:rFonts w:eastAsia="Open Sans"/>
          <w:sz w:val="24"/>
          <w:szCs w:val="24"/>
          <w:lang w:bidi="es-ES"/>
        </w:rPr>
        <w:t>«</w:t>
      </w:r>
      <w:proofErr w:type="spellStart"/>
      <w:r w:rsidR="00C9703A">
        <w:rPr>
          <w:rFonts w:eastAsia="Open Sans"/>
          <w:sz w:val="24"/>
          <w:szCs w:val="24"/>
          <w:lang w:bidi="es-ES"/>
        </w:rPr>
        <w:t>Download</w:t>
      </w:r>
      <w:proofErr w:type="spellEnd"/>
      <w:r w:rsidR="00C9703A">
        <w:rPr>
          <w:rFonts w:eastAsia="Open Sans"/>
          <w:sz w:val="24"/>
          <w:szCs w:val="24"/>
          <w:lang w:bidi="es-ES"/>
        </w:rPr>
        <w:t xml:space="preserve"> </w:t>
      </w:r>
      <w:proofErr w:type="spellStart"/>
      <w:r w:rsidR="00C9703A">
        <w:rPr>
          <w:rFonts w:eastAsia="Open Sans"/>
          <w:sz w:val="24"/>
          <w:szCs w:val="24"/>
          <w:lang w:bidi="es-ES"/>
        </w:rPr>
        <w:t>Map</w:t>
      </w:r>
      <w:proofErr w:type="spellEnd"/>
      <w:r w:rsidR="00C9703A">
        <w:rPr>
          <w:rFonts w:eastAsia="Open Sans"/>
          <w:sz w:val="24"/>
          <w:szCs w:val="24"/>
          <w:lang w:bidi="es-ES"/>
        </w:rPr>
        <w:t xml:space="preserve"> View</w:t>
      </w:r>
      <w:r w:rsidR="00C9703A" w:rsidRPr="0081440A">
        <w:rPr>
          <w:rFonts w:eastAsia="Open Sans"/>
          <w:sz w:val="24"/>
          <w:szCs w:val="24"/>
          <w:lang w:bidi="es-ES"/>
        </w:rPr>
        <w:t>» (</w:t>
      </w:r>
      <w:r w:rsidR="00C9703A">
        <w:rPr>
          <w:rFonts w:eastAsia="Open Sans"/>
          <w:sz w:val="24"/>
          <w:szCs w:val="24"/>
          <w:lang w:bidi="es-ES"/>
        </w:rPr>
        <w:t>Descargar vista del mapa)</w:t>
      </w:r>
      <w:r w:rsidRPr="0081440A">
        <w:rPr>
          <w:rFonts w:eastAsia="Open Sans"/>
          <w:sz w:val="24"/>
          <w:szCs w:val="24"/>
          <w:lang w:bidi="es-ES"/>
        </w:rPr>
        <w:t>.</w:t>
      </w:r>
    </w:p>
    <w:p w:rsidR="00C9703A" w:rsidRDefault="00C9703A" w:rsidP="00C9703A">
      <w:pPr>
        <w:contextualSpacing w:val="0"/>
        <w:rPr>
          <w:rFonts w:eastAsia="Open Sans"/>
          <w:sz w:val="24"/>
          <w:szCs w:val="24"/>
          <w:lang w:bidi="es-ES"/>
        </w:rPr>
      </w:pPr>
    </w:p>
    <w:p w:rsidR="008D2AA5" w:rsidRPr="0081440A" w:rsidRDefault="008D2AA5" w:rsidP="00C9703A">
      <w:pPr>
        <w:contextualSpacing w:val="0"/>
        <w:rPr>
          <w:rFonts w:eastAsia="Open Sans"/>
          <w:sz w:val="24"/>
          <w:szCs w:val="24"/>
        </w:rPr>
      </w:pPr>
      <w:r w:rsidRPr="0081440A">
        <w:rPr>
          <w:rFonts w:eastAsia="Open Sans"/>
          <w:sz w:val="24"/>
          <w:szCs w:val="24"/>
          <w:lang w:bidi="es-ES"/>
        </w:rPr>
        <w:t xml:space="preserve">En los próximos meses se añadirán más indicadores y más opciones </w:t>
      </w:r>
      <w:r w:rsidR="00C9703A">
        <w:rPr>
          <w:rFonts w:eastAsia="Open Sans"/>
          <w:sz w:val="24"/>
          <w:szCs w:val="24"/>
          <w:lang w:bidi="es-ES"/>
        </w:rPr>
        <w:t xml:space="preserve">en la BIP </w:t>
      </w:r>
      <w:proofErr w:type="spellStart"/>
      <w:r w:rsidR="00C9703A">
        <w:rPr>
          <w:rFonts w:eastAsia="Open Sans"/>
          <w:sz w:val="24"/>
          <w:szCs w:val="24"/>
          <w:lang w:bidi="es-ES"/>
        </w:rPr>
        <w:t>Dashboard</w:t>
      </w:r>
      <w:proofErr w:type="spellEnd"/>
      <w:r w:rsidRPr="0081440A">
        <w:rPr>
          <w:rFonts w:eastAsia="Open Sans"/>
          <w:sz w:val="24"/>
          <w:szCs w:val="24"/>
          <w:lang w:bidi="es-ES"/>
        </w:rPr>
        <w:t xml:space="preserve">, como un </w:t>
      </w:r>
      <w:proofErr w:type="spellStart"/>
      <w:r w:rsidRPr="0081440A">
        <w:rPr>
          <w:rFonts w:eastAsia="Open Sans"/>
          <w:sz w:val="24"/>
          <w:szCs w:val="24"/>
          <w:lang w:bidi="es-ES"/>
        </w:rPr>
        <w:t>pdf</w:t>
      </w:r>
      <w:proofErr w:type="spellEnd"/>
      <w:r w:rsidRPr="0081440A">
        <w:rPr>
          <w:rFonts w:eastAsia="Open Sans"/>
          <w:sz w:val="24"/>
          <w:szCs w:val="24"/>
          <w:lang w:bidi="es-ES"/>
        </w:rPr>
        <w:t xml:space="preserve"> con un panorama general </w:t>
      </w:r>
      <w:r w:rsidR="00C9703A">
        <w:rPr>
          <w:rFonts w:eastAsia="Open Sans"/>
          <w:sz w:val="24"/>
          <w:szCs w:val="24"/>
          <w:lang w:bidi="es-ES"/>
        </w:rPr>
        <w:t>por países y herramientas para realizar comparaciones</w:t>
      </w:r>
      <w:r w:rsidRPr="0081440A">
        <w:rPr>
          <w:rFonts w:eastAsia="Open Sans"/>
          <w:sz w:val="24"/>
          <w:szCs w:val="24"/>
          <w:lang w:bidi="es-ES"/>
        </w:rPr>
        <w:t xml:space="preserve">. Agradeceremos </w:t>
      </w:r>
      <w:r w:rsidR="00C9703A">
        <w:rPr>
          <w:rFonts w:eastAsia="Open Sans"/>
          <w:sz w:val="24"/>
          <w:szCs w:val="24"/>
          <w:lang w:bidi="es-ES"/>
        </w:rPr>
        <w:t>sus observaciones y sugerencias escritas por email</w:t>
      </w:r>
      <w:r w:rsidRPr="0081440A">
        <w:rPr>
          <w:rFonts w:eastAsia="Open Sans"/>
          <w:sz w:val="24"/>
          <w:szCs w:val="24"/>
          <w:lang w:bidi="es-ES"/>
        </w:rPr>
        <w:t xml:space="preserve"> y responderemos encantados a </w:t>
      </w:r>
      <w:r w:rsidR="00C9703A">
        <w:rPr>
          <w:rFonts w:eastAsia="Open Sans"/>
          <w:sz w:val="24"/>
          <w:szCs w:val="24"/>
          <w:lang w:bidi="es-ES"/>
        </w:rPr>
        <w:t>cualquier consulta</w:t>
      </w:r>
      <w:r w:rsidRPr="0081440A">
        <w:rPr>
          <w:rFonts w:eastAsia="Open Sans"/>
          <w:sz w:val="24"/>
          <w:szCs w:val="24"/>
          <w:lang w:bidi="es-ES"/>
        </w:rPr>
        <w:t xml:space="preserve">. Pueden ponerse en contacto con: </w:t>
      </w:r>
      <w:r w:rsidR="00C9703A">
        <w:rPr>
          <w:rFonts w:eastAsia="Open Sans"/>
          <w:sz w:val="24"/>
          <w:szCs w:val="24"/>
        </w:rPr>
        <w:tab/>
      </w:r>
      <w:r w:rsidRPr="0081440A">
        <w:rPr>
          <w:rFonts w:eastAsia="Open Sans"/>
          <w:sz w:val="24"/>
          <w:szCs w:val="24"/>
          <w:lang w:bidi="es-ES"/>
        </w:rPr>
        <w:t>Katherine Despot-Belmonte (</w:t>
      </w:r>
      <w:hyperlink r:id="rId9" w:history="1">
        <w:r w:rsidRPr="0081440A">
          <w:rPr>
            <w:rStyle w:val="Hyperlink"/>
            <w:rFonts w:eastAsia="Open Sans"/>
            <w:sz w:val="24"/>
            <w:szCs w:val="24"/>
            <w:lang w:bidi="es-ES"/>
          </w:rPr>
          <w:t>katherine.despot-belmonte@unep-wcmc.org</w:t>
        </w:r>
      </w:hyperlink>
      <w:r w:rsidRPr="0081440A">
        <w:rPr>
          <w:rFonts w:eastAsia="Open Sans"/>
          <w:sz w:val="24"/>
          <w:szCs w:val="24"/>
          <w:lang w:bidi="es-ES"/>
        </w:rPr>
        <w:t>) o con</w:t>
      </w:r>
    </w:p>
    <w:p w:rsidR="005E30E1" w:rsidRPr="00860933" w:rsidRDefault="008D2AA5" w:rsidP="008D2AA5">
      <w:pPr>
        <w:ind w:firstLine="720"/>
        <w:contextualSpacing w:val="0"/>
        <w:rPr>
          <w:rFonts w:eastAsia="Open Sans"/>
          <w:color w:val="4A4A4A"/>
          <w:sz w:val="24"/>
          <w:szCs w:val="24"/>
          <w:lang w:val="en-GB"/>
        </w:rPr>
      </w:pPr>
      <w:r w:rsidRPr="00860933">
        <w:rPr>
          <w:rFonts w:eastAsia="Open Sans"/>
          <w:sz w:val="24"/>
          <w:szCs w:val="24"/>
          <w:lang w:val="en-GB" w:bidi="es-ES"/>
        </w:rPr>
        <w:t>Mike Gill (</w:t>
      </w:r>
      <w:hyperlink r:id="rId10" w:history="1">
        <w:r w:rsidRPr="00860933">
          <w:rPr>
            <w:rStyle w:val="Hyperlink"/>
            <w:rFonts w:eastAsia="Open Sans"/>
            <w:sz w:val="24"/>
            <w:szCs w:val="24"/>
            <w:lang w:val="en-GB" w:bidi="es-ES"/>
          </w:rPr>
          <w:t>mike.gill@natureserve.org</w:t>
        </w:r>
      </w:hyperlink>
      <w:r w:rsidRPr="00860933">
        <w:rPr>
          <w:rFonts w:eastAsia="Open Sans"/>
          <w:sz w:val="24"/>
          <w:szCs w:val="24"/>
          <w:lang w:val="en-GB" w:bidi="es-ES"/>
        </w:rPr>
        <w:t>)</w:t>
      </w:r>
    </w:p>
    <w:sectPr w:rsidR="005E30E1" w:rsidRPr="0086093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0E1"/>
    <w:rsid w:val="000127E6"/>
    <w:rsid w:val="00080011"/>
    <w:rsid w:val="000B08FE"/>
    <w:rsid w:val="00127445"/>
    <w:rsid w:val="00167322"/>
    <w:rsid w:val="002D27DC"/>
    <w:rsid w:val="00335CD0"/>
    <w:rsid w:val="00502FB1"/>
    <w:rsid w:val="005E30E1"/>
    <w:rsid w:val="007D4742"/>
    <w:rsid w:val="0081440A"/>
    <w:rsid w:val="00860933"/>
    <w:rsid w:val="008D2AA5"/>
    <w:rsid w:val="008D7546"/>
    <w:rsid w:val="009C2BC3"/>
    <w:rsid w:val="00A207B7"/>
    <w:rsid w:val="00B737F7"/>
    <w:rsid w:val="00C9703A"/>
    <w:rsid w:val="00D97AB1"/>
    <w:rsid w:val="00E376CB"/>
    <w:rsid w:val="00E61025"/>
    <w:rsid w:val="00F10804"/>
    <w:rsid w:val="00F146A2"/>
    <w:rsid w:val="00F61F34"/>
    <w:rsid w:val="00F628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95F5D8"/>
  <w15:docId w15:val="{C6399184-51A2-433D-BC18-5D5B08A7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ES"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C2BC3"/>
    <w:rPr>
      <w:color w:val="0563C1"/>
      <w:u w:val="single"/>
    </w:rPr>
  </w:style>
  <w:style w:type="character" w:customStyle="1" w:styleId="UnresolvedMention1">
    <w:name w:val="Unresolved Mention1"/>
    <w:basedOn w:val="DefaultParagraphFont"/>
    <w:uiPriority w:val="99"/>
    <w:semiHidden/>
    <w:unhideWhenUsed/>
    <w:rsid w:val="008D2AA5"/>
    <w:rPr>
      <w:color w:val="605E5C"/>
      <w:shd w:val="clear" w:color="auto" w:fill="E1DFDD"/>
    </w:rPr>
  </w:style>
  <w:style w:type="character" w:styleId="CommentReference">
    <w:name w:val="annotation reference"/>
    <w:basedOn w:val="DefaultParagraphFont"/>
    <w:uiPriority w:val="99"/>
    <w:semiHidden/>
    <w:unhideWhenUsed/>
    <w:rsid w:val="00B737F7"/>
    <w:rPr>
      <w:sz w:val="16"/>
      <w:szCs w:val="16"/>
    </w:rPr>
  </w:style>
  <w:style w:type="paragraph" w:styleId="CommentText">
    <w:name w:val="annotation text"/>
    <w:basedOn w:val="Normal"/>
    <w:link w:val="CommentTextChar"/>
    <w:uiPriority w:val="99"/>
    <w:semiHidden/>
    <w:unhideWhenUsed/>
    <w:rsid w:val="00B737F7"/>
    <w:pPr>
      <w:spacing w:line="240" w:lineRule="auto"/>
    </w:pPr>
    <w:rPr>
      <w:sz w:val="20"/>
      <w:szCs w:val="20"/>
    </w:rPr>
  </w:style>
  <w:style w:type="character" w:customStyle="1" w:styleId="CommentTextChar">
    <w:name w:val="Comment Text Char"/>
    <w:basedOn w:val="DefaultParagraphFont"/>
    <w:link w:val="CommentText"/>
    <w:uiPriority w:val="99"/>
    <w:semiHidden/>
    <w:rsid w:val="00B737F7"/>
    <w:rPr>
      <w:sz w:val="20"/>
      <w:szCs w:val="20"/>
    </w:rPr>
  </w:style>
  <w:style w:type="paragraph" w:styleId="CommentSubject">
    <w:name w:val="annotation subject"/>
    <w:basedOn w:val="CommentText"/>
    <w:next w:val="CommentText"/>
    <w:link w:val="CommentSubjectChar"/>
    <w:uiPriority w:val="99"/>
    <w:semiHidden/>
    <w:unhideWhenUsed/>
    <w:rsid w:val="00B737F7"/>
    <w:rPr>
      <w:b/>
      <w:bCs/>
    </w:rPr>
  </w:style>
  <w:style w:type="character" w:customStyle="1" w:styleId="CommentSubjectChar">
    <w:name w:val="Comment Subject Char"/>
    <w:basedOn w:val="CommentTextChar"/>
    <w:link w:val="CommentSubject"/>
    <w:uiPriority w:val="99"/>
    <w:semiHidden/>
    <w:rsid w:val="00B737F7"/>
    <w:rPr>
      <w:b/>
      <w:bCs/>
      <w:sz w:val="20"/>
      <w:szCs w:val="20"/>
    </w:rPr>
  </w:style>
  <w:style w:type="paragraph" w:styleId="BalloonText">
    <w:name w:val="Balloon Text"/>
    <w:basedOn w:val="Normal"/>
    <w:link w:val="BalloonTextChar"/>
    <w:uiPriority w:val="99"/>
    <w:semiHidden/>
    <w:unhideWhenUsed/>
    <w:rsid w:val="00B737F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7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bipdashboard.natureserve.org/bip" TargetMode="External"/><Relationship Id="rId10" Type="http://schemas.openxmlformats.org/officeDocument/2006/relationships/hyperlink" Target="mailto:mike.gill@natureserve.org" TargetMode="External"/><Relationship Id="rId4" Type="http://schemas.openxmlformats.org/officeDocument/2006/relationships/hyperlink" Target="https://www.bipindicators.net" TargetMode="External"/><Relationship Id="rId9" Type="http://schemas.openxmlformats.org/officeDocument/2006/relationships/hyperlink" Target="mailto:katherine.despot-belmonte@unep-wc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Gill</dc:creator>
  <cp:lastModifiedBy>Katherine Despot-Belmonte</cp:lastModifiedBy>
  <cp:revision>6</cp:revision>
  <dcterms:created xsi:type="dcterms:W3CDTF">2018-12-19T04:44:00Z</dcterms:created>
  <dcterms:modified xsi:type="dcterms:W3CDTF">2018-12-19T05:02:00Z</dcterms:modified>
</cp:coreProperties>
</file>