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2E0D58" w14:textId="77777777" w:rsidR="005E30E1" w:rsidRDefault="00127445">
      <w:pPr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bidi="fr-FR"/>
        </w:rPr>
        <w:t>Tableau de bord du Partenariat relatif aux indicateurs de la biodiversité (BIP)</w:t>
      </w:r>
    </w:p>
    <w:p w14:paraId="37C2C056" w14:textId="77777777" w:rsidR="005E30E1" w:rsidRDefault="00127445">
      <w:pPr>
        <w:contextualSpacing w:val="0"/>
        <w:jc w:val="center"/>
        <w:rPr>
          <w:sz w:val="24"/>
          <w:szCs w:val="24"/>
        </w:rPr>
      </w:pPr>
      <w:r>
        <w:rPr>
          <w:sz w:val="24"/>
          <w:szCs w:val="24"/>
          <w:lang w:bidi="fr-FR"/>
        </w:rPr>
        <w:t>Suivi des tendances en matière de conservation</w:t>
      </w:r>
    </w:p>
    <w:p w14:paraId="455982C7" w14:textId="77777777" w:rsidR="005E30E1" w:rsidRDefault="005E30E1">
      <w:pPr>
        <w:contextualSpacing w:val="0"/>
        <w:jc w:val="both"/>
        <w:rPr>
          <w:sz w:val="24"/>
          <w:szCs w:val="24"/>
        </w:rPr>
      </w:pPr>
    </w:p>
    <w:p w14:paraId="15FAD67A" w14:textId="77777777" w:rsidR="005E30E1" w:rsidRDefault="00127445">
      <w:pPr>
        <w:contextualSpacing w:val="0"/>
        <w:jc w:val="both"/>
        <w:rPr>
          <w:sz w:val="24"/>
          <w:szCs w:val="24"/>
        </w:rPr>
      </w:pPr>
      <w:r>
        <w:rPr>
          <w:sz w:val="24"/>
          <w:szCs w:val="24"/>
          <w:lang w:bidi="fr-FR"/>
        </w:rPr>
        <w:t xml:space="preserve"> </w:t>
      </w:r>
    </w:p>
    <w:p w14:paraId="5302B30D" w14:textId="0D8D0120" w:rsidR="005E30E1" w:rsidRPr="008D2AA5" w:rsidRDefault="00127445" w:rsidP="00127445">
      <w:pPr>
        <w:ind w:firstLine="720"/>
        <w:contextualSpacing w:val="0"/>
        <w:rPr>
          <w:sz w:val="24"/>
          <w:szCs w:val="24"/>
        </w:rPr>
      </w:pPr>
      <w:r w:rsidRPr="008D2AA5">
        <w:rPr>
          <w:sz w:val="24"/>
          <w:szCs w:val="24"/>
          <w:lang w:bidi="fr-FR"/>
        </w:rPr>
        <w:t xml:space="preserve">Les utilisateurs peuvent </w:t>
      </w:r>
      <w:r w:rsidR="003C31A3">
        <w:rPr>
          <w:sz w:val="24"/>
          <w:szCs w:val="24"/>
          <w:lang w:bidi="fr-FR"/>
        </w:rPr>
        <w:t>accéder</w:t>
      </w:r>
      <w:r w:rsidRPr="008D2AA5">
        <w:rPr>
          <w:sz w:val="24"/>
          <w:szCs w:val="24"/>
          <w:lang w:bidi="fr-FR"/>
        </w:rPr>
        <w:t xml:space="preserve"> au tableau de bord du BIP pour l</w:t>
      </w:r>
      <w:r w:rsidR="00223B9C">
        <w:rPr>
          <w:sz w:val="24"/>
          <w:szCs w:val="24"/>
          <w:lang w:bidi="fr-FR"/>
        </w:rPr>
        <w:t>’</w:t>
      </w:r>
      <w:r w:rsidRPr="008D2AA5">
        <w:rPr>
          <w:sz w:val="24"/>
          <w:szCs w:val="24"/>
          <w:lang w:bidi="fr-FR"/>
        </w:rPr>
        <w:t xml:space="preserve">élaboration de leur </w:t>
      </w:r>
      <w:r w:rsidR="003C31A3">
        <w:rPr>
          <w:sz w:val="24"/>
          <w:szCs w:val="24"/>
          <w:lang w:bidi="fr-FR"/>
        </w:rPr>
        <w:t>6e</w:t>
      </w:r>
      <w:r w:rsidRPr="008D2AA5">
        <w:rPr>
          <w:sz w:val="24"/>
          <w:szCs w:val="24"/>
          <w:lang w:bidi="fr-FR"/>
        </w:rPr>
        <w:t xml:space="preserve"> rapport national</w:t>
      </w:r>
      <w:r w:rsidR="00BE456D">
        <w:rPr>
          <w:sz w:val="24"/>
          <w:szCs w:val="24"/>
          <w:lang w:bidi="fr-FR"/>
        </w:rPr>
        <w:t>,</w:t>
      </w:r>
      <w:r w:rsidRPr="008D2AA5">
        <w:rPr>
          <w:sz w:val="24"/>
          <w:szCs w:val="24"/>
          <w:lang w:bidi="fr-FR"/>
        </w:rPr>
        <w:t xml:space="preserve"> en cliquant sur l</w:t>
      </w:r>
      <w:r w:rsidR="00223B9C">
        <w:rPr>
          <w:sz w:val="24"/>
          <w:szCs w:val="24"/>
          <w:lang w:bidi="fr-FR"/>
        </w:rPr>
        <w:t>’</w:t>
      </w:r>
      <w:r w:rsidRPr="008D2AA5">
        <w:rPr>
          <w:sz w:val="24"/>
          <w:szCs w:val="24"/>
          <w:lang w:bidi="fr-FR"/>
        </w:rPr>
        <w:t>onglet Tableau de bord (</w:t>
      </w:r>
      <w:r w:rsidR="00BE456D">
        <w:rPr>
          <w:sz w:val="24"/>
          <w:szCs w:val="24"/>
          <w:lang w:bidi="fr-FR"/>
        </w:rPr>
        <w:t>« </w:t>
      </w:r>
      <w:r w:rsidRPr="008D2AA5">
        <w:rPr>
          <w:sz w:val="24"/>
          <w:szCs w:val="24"/>
          <w:lang w:bidi="fr-FR"/>
        </w:rPr>
        <w:t>Dashboard</w:t>
      </w:r>
      <w:r w:rsidR="00BE456D">
        <w:rPr>
          <w:sz w:val="24"/>
          <w:szCs w:val="24"/>
          <w:lang w:bidi="fr-FR"/>
        </w:rPr>
        <w:t> »</w:t>
      </w:r>
      <w:r w:rsidRPr="008D2AA5">
        <w:rPr>
          <w:sz w:val="24"/>
          <w:szCs w:val="24"/>
          <w:lang w:bidi="fr-FR"/>
        </w:rPr>
        <w:t>) du site </w:t>
      </w:r>
      <w:r w:rsidR="00BE456D">
        <w:rPr>
          <w:sz w:val="24"/>
          <w:szCs w:val="24"/>
          <w:lang w:bidi="fr-FR"/>
        </w:rPr>
        <w:t>Web</w:t>
      </w:r>
      <w:r w:rsidR="00BE456D" w:rsidRPr="008D2AA5">
        <w:rPr>
          <w:sz w:val="24"/>
          <w:szCs w:val="24"/>
          <w:lang w:bidi="fr-FR"/>
        </w:rPr>
        <w:t xml:space="preserve"> </w:t>
      </w:r>
      <w:r w:rsidRPr="008D2AA5">
        <w:rPr>
          <w:sz w:val="24"/>
          <w:szCs w:val="24"/>
          <w:lang w:bidi="fr-FR"/>
        </w:rPr>
        <w:t>du Partenariat relatif aux indicateurs de la biodiversité (</w:t>
      </w:r>
      <w:hyperlink r:id="rId4" w:history="1">
        <w:r w:rsidR="008D2AA5" w:rsidRPr="0025136B">
          <w:rPr>
            <w:rStyle w:val="Hyperlink"/>
            <w:sz w:val="24"/>
            <w:szCs w:val="24"/>
            <w:lang w:bidi="fr-FR"/>
          </w:rPr>
          <w:t>https://www.bipindicators.net</w:t>
        </w:r>
      </w:hyperlink>
      <w:r w:rsidRPr="008D2AA5">
        <w:rPr>
          <w:sz w:val="24"/>
          <w:szCs w:val="24"/>
          <w:lang w:bidi="fr-FR"/>
        </w:rPr>
        <w:t>), ou à l</w:t>
      </w:r>
      <w:r w:rsidR="00223B9C">
        <w:rPr>
          <w:sz w:val="24"/>
          <w:szCs w:val="24"/>
          <w:lang w:bidi="fr-FR"/>
        </w:rPr>
        <w:t>’</w:t>
      </w:r>
      <w:r w:rsidRPr="008D2AA5">
        <w:rPr>
          <w:sz w:val="24"/>
          <w:szCs w:val="24"/>
          <w:lang w:bidi="fr-FR"/>
        </w:rPr>
        <w:t>aide d</w:t>
      </w:r>
      <w:r w:rsidR="00223B9C">
        <w:rPr>
          <w:sz w:val="24"/>
          <w:szCs w:val="24"/>
          <w:lang w:bidi="fr-FR"/>
        </w:rPr>
        <w:t>’</w:t>
      </w:r>
      <w:r w:rsidRPr="008D2AA5">
        <w:rPr>
          <w:sz w:val="24"/>
          <w:szCs w:val="24"/>
          <w:lang w:bidi="fr-FR"/>
        </w:rPr>
        <w:t>un lien direct (</w:t>
      </w:r>
      <w:hyperlink r:id="rId5" w:history="1">
        <w:r w:rsidR="009C2BC3" w:rsidRPr="008D2AA5">
          <w:rPr>
            <w:rStyle w:val="Hyperlink"/>
            <w:sz w:val="24"/>
            <w:szCs w:val="24"/>
            <w:lang w:bidi="fr-FR"/>
          </w:rPr>
          <w:t>http://bipdashboard.natureserve.org/bip</w:t>
        </w:r>
      </w:hyperlink>
      <w:r w:rsidRPr="008D2AA5">
        <w:rPr>
          <w:sz w:val="24"/>
          <w:szCs w:val="24"/>
          <w:lang w:bidi="fr-FR"/>
        </w:rPr>
        <w:t>).</w:t>
      </w:r>
    </w:p>
    <w:p w14:paraId="299BE46C" w14:textId="565D8339" w:rsidR="005E30E1" w:rsidRDefault="005E30E1">
      <w:pPr>
        <w:ind w:firstLine="720"/>
        <w:contextualSpacing w:val="0"/>
        <w:jc w:val="both"/>
        <w:rPr>
          <w:sz w:val="24"/>
          <w:szCs w:val="24"/>
        </w:rPr>
      </w:pPr>
    </w:p>
    <w:p w14:paraId="5C96CFE2" w14:textId="34797DDB" w:rsidR="005E30E1" w:rsidRPr="008D2AA5" w:rsidRDefault="0081440A" w:rsidP="00127445">
      <w:pPr>
        <w:ind w:firstLine="720"/>
        <w:contextualSpacing w:val="0"/>
        <w:rPr>
          <w:rFonts w:eastAsia="Open Sans"/>
          <w:sz w:val="24"/>
          <w:szCs w:val="24"/>
        </w:rPr>
      </w:pPr>
      <w:r w:rsidRPr="008D2AA5">
        <w:rPr>
          <w:noProof/>
          <w:sz w:val="24"/>
          <w:szCs w:val="24"/>
          <w:lang w:val="en-GB" w:eastAsia="en-GB"/>
        </w:rPr>
        <w:drawing>
          <wp:anchor distT="114300" distB="114300" distL="114300" distR="114300" simplePos="0" relativeHeight="251658240" behindDoc="0" locked="0" layoutInCell="1" hidden="0" allowOverlap="1" wp14:anchorId="6031109E" wp14:editId="2EDAF63B">
            <wp:simplePos x="0" y="0"/>
            <wp:positionH relativeFrom="column">
              <wp:posOffset>4502150</wp:posOffset>
            </wp:positionH>
            <wp:positionV relativeFrom="paragraph">
              <wp:posOffset>13335</wp:posOffset>
            </wp:positionV>
            <wp:extent cx="2061845" cy="327787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327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445" w:rsidRPr="008D2AA5">
        <w:rPr>
          <w:sz w:val="24"/>
          <w:szCs w:val="24"/>
          <w:lang w:bidi="fr-FR"/>
        </w:rPr>
        <w:t>La page d</w:t>
      </w:r>
      <w:r w:rsidR="00223B9C">
        <w:rPr>
          <w:sz w:val="24"/>
          <w:szCs w:val="24"/>
          <w:lang w:bidi="fr-FR"/>
        </w:rPr>
        <w:t>’</w:t>
      </w:r>
      <w:r w:rsidR="00127445" w:rsidRPr="008D2AA5">
        <w:rPr>
          <w:sz w:val="24"/>
          <w:szCs w:val="24"/>
          <w:lang w:bidi="fr-FR"/>
        </w:rPr>
        <w:t xml:space="preserve">accueil du tableau de bord permet aux utilisateurs de </w:t>
      </w:r>
      <w:r w:rsidR="00127445" w:rsidRPr="008D2AA5">
        <w:rPr>
          <w:rFonts w:eastAsia="Open Sans"/>
          <w:sz w:val="24"/>
          <w:szCs w:val="24"/>
          <w:lang w:bidi="fr-FR"/>
        </w:rPr>
        <w:t xml:space="preserve">consulter les données liées aux indicateurs de biodiversité par pays et par région. Les utilisateurs peuvent saisir le </w:t>
      </w:r>
      <w:r w:rsidR="00BE456D">
        <w:rPr>
          <w:rFonts w:eastAsia="Open Sans"/>
          <w:sz w:val="24"/>
          <w:szCs w:val="24"/>
          <w:lang w:bidi="fr-FR"/>
        </w:rPr>
        <w:t>pays de leur choix</w:t>
      </w:r>
      <w:r w:rsidR="00127445" w:rsidRPr="008D2AA5">
        <w:rPr>
          <w:rFonts w:eastAsia="Open Sans"/>
          <w:sz w:val="24"/>
          <w:szCs w:val="24"/>
          <w:lang w:bidi="fr-FR"/>
        </w:rPr>
        <w:t>, ou consulter les indicateurs mondiaux en ouvrant directement la carte. La liste des pays figurant sur la page d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accueil indique également le nombre d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 xml:space="preserve">indicateurs disponibles pour chaque pays. </w:t>
      </w:r>
    </w:p>
    <w:p w14:paraId="20B20A56" w14:textId="77777777" w:rsidR="005E30E1" w:rsidRPr="008D2AA5" w:rsidRDefault="005E30E1">
      <w:pPr>
        <w:ind w:firstLine="720"/>
        <w:contextualSpacing w:val="0"/>
        <w:jc w:val="both"/>
        <w:rPr>
          <w:rFonts w:eastAsia="Open Sans"/>
          <w:sz w:val="24"/>
          <w:szCs w:val="24"/>
        </w:rPr>
      </w:pPr>
    </w:p>
    <w:p w14:paraId="6D49B034" w14:textId="69A1C026" w:rsidR="005E30E1" w:rsidRPr="008D2AA5" w:rsidRDefault="00127445" w:rsidP="00A207B7">
      <w:pPr>
        <w:ind w:firstLine="720"/>
        <w:contextualSpacing w:val="0"/>
        <w:rPr>
          <w:rFonts w:eastAsia="Open Sans"/>
          <w:sz w:val="24"/>
          <w:szCs w:val="24"/>
        </w:rPr>
      </w:pPr>
      <w:r w:rsidRPr="008D2AA5">
        <w:rPr>
          <w:rFonts w:eastAsia="Open Sans"/>
          <w:sz w:val="24"/>
          <w:szCs w:val="24"/>
          <w:lang w:bidi="fr-FR"/>
        </w:rPr>
        <w:t>Après avoir choisi un pays, les utilisateurs accèdent à une page de sélection d</w:t>
      </w:r>
      <w:r w:rsidR="00223B9C">
        <w:rPr>
          <w:rFonts w:eastAsia="Open Sans"/>
          <w:sz w:val="24"/>
          <w:szCs w:val="24"/>
          <w:lang w:bidi="fr-FR"/>
        </w:rPr>
        <w:t>’</w:t>
      </w:r>
      <w:r w:rsidRPr="008D2AA5">
        <w:rPr>
          <w:rFonts w:eastAsia="Open Sans"/>
          <w:sz w:val="24"/>
          <w:szCs w:val="24"/>
          <w:lang w:bidi="fr-FR"/>
        </w:rPr>
        <w:t>indicateurs. Ils peuvent rechercher directement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Pr="008D2AA5">
        <w:rPr>
          <w:rFonts w:eastAsia="Open Sans"/>
          <w:sz w:val="24"/>
          <w:szCs w:val="24"/>
          <w:lang w:bidi="fr-FR"/>
        </w:rPr>
        <w:t>indicateur souhaité ou parcourir la liste des indicateurs, classés par thème (par exemple, Agriculture, Habitats marins et d</w:t>
      </w:r>
      <w:r w:rsidR="00223B9C">
        <w:rPr>
          <w:rFonts w:eastAsia="Open Sans"/>
          <w:sz w:val="24"/>
          <w:szCs w:val="24"/>
          <w:lang w:bidi="fr-FR"/>
        </w:rPr>
        <w:t>’</w:t>
      </w:r>
      <w:r w:rsidRPr="008D2AA5">
        <w:rPr>
          <w:rFonts w:eastAsia="Open Sans"/>
          <w:sz w:val="24"/>
          <w:szCs w:val="24"/>
          <w:lang w:bidi="fr-FR"/>
        </w:rPr>
        <w:t>eau douce, Habitats terrestres, Politique et mesures de conservation, ou encore Espèces). Cliquer sur un thème déroule un menu des indicateurs correspondants, qui mentionne également les objectifs d</w:t>
      </w:r>
      <w:r w:rsidR="00223B9C">
        <w:rPr>
          <w:rFonts w:eastAsia="Open Sans"/>
          <w:sz w:val="24"/>
          <w:szCs w:val="24"/>
          <w:lang w:bidi="fr-FR"/>
        </w:rPr>
        <w:t>’</w:t>
      </w:r>
      <w:r w:rsidRPr="008D2AA5">
        <w:rPr>
          <w:rFonts w:eastAsia="Open Sans"/>
          <w:sz w:val="24"/>
          <w:szCs w:val="24"/>
          <w:lang w:bidi="fr-FR"/>
        </w:rPr>
        <w:t xml:space="preserve">Aichi pour la biodiversité, les </w:t>
      </w:r>
      <w:r w:rsidR="00F95B8E">
        <w:rPr>
          <w:rFonts w:eastAsia="Open Sans"/>
          <w:sz w:val="24"/>
          <w:szCs w:val="24"/>
          <w:lang w:bidi="fr-FR"/>
        </w:rPr>
        <w:t>O</w:t>
      </w:r>
      <w:r w:rsidRPr="008D2AA5">
        <w:rPr>
          <w:rFonts w:eastAsia="Open Sans"/>
          <w:sz w:val="24"/>
          <w:szCs w:val="24"/>
          <w:lang w:bidi="fr-FR"/>
        </w:rPr>
        <w:t xml:space="preserve">bjectifs de développement durable (ODD) et les </w:t>
      </w:r>
      <w:r w:rsidR="00F95B8E">
        <w:rPr>
          <w:rFonts w:eastAsia="Open Sans"/>
          <w:sz w:val="24"/>
          <w:szCs w:val="24"/>
          <w:lang w:bidi="fr-FR"/>
        </w:rPr>
        <w:t>A</w:t>
      </w:r>
      <w:r w:rsidRPr="008D2AA5">
        <w:rPr>
          <w:rFonts w:eastAsia="Open Sans"/>
          <w:sz w:val="24"/>
          <w:szCs w:val="24"/>
          <w:lang w:bidi="fr-FR"/>
        </w:rPr>
        <w:t>ccords multilatéraux sur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Pr="008D2AA5">
        <w:rPr>
          <w:rFonts w:eastAsia="Open Sans"/>
          <w:sz w:val="24"/>
          <w:szCs w:val="24"/>
          <w:lang w:bidi="fr-FR"/>
        </w:rPr>
        <w:t>environnement (AME) associés à chaque indicateur.</w:t>
      </w:r>
    </w:p>
    <w:p w14:paraId="19CC98E5" w14:textId="5FADD429" w:rsidR="00127445" w:rsidRDefault="00127445" w:rsidP="00127445">
      <w:pPr>
        <w:ind w:firstLine="720"/>
        <w:contextualSpacing w:val="0"/>
        <w:rPr>
          <w:rFonts w:ascii="Open Sans" w:eastAsia="Open Sans" w:hAnsi="Open Sans" w:cs="Open Sans"/>
          <w:sz w:val="24"/>
          <w:szCs w:val="24"/>
        </w:rPr>
      </w:pPr>
    </w:p>
    <w:p w14:paraId="3EF9AD75" w14:textId="5A04A02A" w:rsidR="005E30E1" w:rsidRPr="008D2AA5" w:rsidRDefault="0081440A" w:rsidP="0081440A">
      <w:pPr>
        <w:contextualSpacing w:val="0"/>
        <w:rPr>
          <w:rFonts w:eastAsia="Open Sans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1718C9FE" wp14:editId="1E7FC3DD">
            <wp:simplePos x="0" y="0"/>
            <wp:positionH relativeFrom="margin">
              <wp:posOffset>2857500</wp:posOffset>
            </wp:positionH>
            <wp:positionV relativeFrom="paragraph">
              <wp:posOffset>300990</wp:posOffset>
            </wp:positionV>
            <wp:extent cx="3781425" cy="2457450"/>
            <wp:effectExtent l="0" t="0" r="9525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445" w:rsidRPr="008D2AA5">
        <w:rPr>
          <w:rFonts w:eastAsia="Open Sans"/>
          <w:sz w:val="24"/>
          <w:szCs w:val="24"/>
          <w:lang w:bidi="fr-FR"/>
        </w:rPr>
        <w:t xml:space="preserve">Une fois </w:t>
      </w:r>
      <w:r w:rsidR="00B92C42">
        <w:rPr>
          <w:rFonts w:eastAsia="Open Sans"/>
          <w:sz w:val="24"/>
          <w:szCs w:val="24"/>
          <w:lang w:bidi="fr-FR"/>
        </w:rPr>
        <w:t>sélectionné</w:t>
      </w:r>
      <w:r w:rsidR="00127445" w:rsidRPr="008D2AA5">
        <w:rPr>
          <w:rFonts w:eastAsia="Open Sans"/>
          <w:sz w:val="24"/>
          <w:szCs w:val="24"/>
          <w:lang w:bidi="fr-FR"/>
        </w:rPr>
        <w:t>,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indicateur est représenté sur une carte du pays en question, accompagné d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une barre d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information qui comporte notamment un graphique chronologique. Plusieurs représentations sont proposées :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utilisateur peut ainsi voir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évolution annuelle de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indicateur ou les données de la dernière année de mesure. Les indicateurs pour lesquels des données sont disponibles à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échelle infranationale ou à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échelle des bassins (par exemple,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44B5">
        <w:rPr>
          <w:rFonts w:eastAsia="Open Sans"/>
          <w:sz w:val="24"/>
          <w:szCs w:val="24"/>
          <w:lang w:bidi="fr-FR"/>
        </w:rPr>
        <w:t>I</w:t>
      </w:r>
      <w:r w:rsidR="00127445" w:rsidRPr="008D2AA5">
        <w:rPr>
          <w:rFonts w:eastAsia="Open Sans"/>
          <w:sz w:val="24"/>
          <w:szCs w:val="24"/>
          <w:lang w:bidi="fr-FR"/>
        </w:rPr>
        <w:t>ndicateur de connectivité des aires protégées) peuvent également être visualisés à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échelle des bassins en cliquant sur le bouton «</w:t>
      </w:r>
      <w:r w:rsidR="001244B5">
        <w:rPr>
          <w:rFonts w:eastAsia="Open Sans"/>
          <w:sz w:val="24"/>
          <w:szCs w:val="24"/>
          <w:lang w:bidi="fr-FR"/>
        </w:rPr>
        <w:t xml:space="preserve"> </w:t>
      </w:r>
      <w:r w:rsidR="00127445" w:rsidRPr="008D2AA5">
        <w:rPr>
          <w:rFonts w:eastAsia="Open Sans"/>
          <w:sz w:val="24"/>
          <w:szCs w:val="24"/>
          <w:lang w:bidi="fr-FR"/>
        </w:rPr>
        <w:t>Voir le bassin » (</w:t>
      </w:r>
      <w:r w:rsidR="001244B5">
        <w:rPr>
          <w:rFonts w:eastAsia="Open Sans"/>
          <w:sz w:val="24"/>
          <w:szCs w:val="24"/>
          <w:lang w:bidi="fr-FR"/>
        </w:rPr>
        <w:t>« </w:t>
      </w:r>
      <w:r w:rsidR="00127445" w:rsidRPr="008D2AA5">
        <w:rPr>
          <w:rFonts w:eastAsia="Open Sans"/>
          <w:sz w:val="24"/>
          <w:szCs w:val="24"/>
          <w:lang w:bidi="fr-FR"/>
        </w:rPr>
        <w:t>Show Basin</w:t>
      </w:r>
      <w:r w:rsidR="001244B5">
        <w:rPr>
          <w:rFonts w:eastAsia="Open Sans"/>
          <w:sz w:val="24"/>
          <w:szCs w:val="24"/>
          <w:lang w:bidi="fr-FR"/>
        </w:rPr>
        <w:t> »</w:t>
      </w:r>
      <w:r w:rsidR="00127445" w:rsidRPr="008D2AA5">
        <w:rPr>
          <w:rFonts w:eastAsia="Open Sans"/>
          <w:sz w:val="24"/>
          <w:szCs w:val="24"/>
          <w:lang w:bidi="fr-FR"/>
        </w:rPr>
        <w:t>) dans la fenêtre de la carte. Une fois sélectionné(e), chaque région ou bassin de la carte est représenté(e) accompagné(e) d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un graphique chronologique pour les années disponibles, d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une description de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indicateur et d</w:t>
      </w:r>
      <w:r w:rsidR="00223B9C">
        <w:rPr>
          <w:rFonts w:eastAsia="Open Sans"/>
          <w:sz w:val="24"/>
          <w:szCs w:val="24"/>
          <w:lang w:bidi="fr-FR"/>
        </w:rPr>
        <w:t>’</w:t>
      </w:r>
      <w:r w:rsidR="00127445" w:rsidRPr="008D2AA5">
        <w:rPr>
          <w:rFonts w:eastAsia="Open Sans"/>
          <w:sz w:val="24"/>
          <w:szCs w:val="24"/>
          <w:lang w:bidi="fr-FR"/>
        </w:rPr>
        <w:t>options permettant de télécharger les informations affichées sous forme de graphique ou de carte.</w:t>
      </w:r>
    </w:p>
    <w:p w14:paraId="778473B8" w14:textId="77777777" w:rsidR="001244B5" w:rsidRDefault="001244B5">
      <w:pPr>
        <w:ind w:firstLine="720"/>
        <w:contextualSpacing w:val="0"/>
        <w:jc w:val="center"/>
        <w:rPr>
          <w:rFonts w:ascii="Open Sans" w:eastAsia="Open Sans" w:hAnsi="Open Sans" w:cs="Open Sans"/>
          <w:sz w:val="24"/>
          <w:szCs w:val="24"/>
        </w:rPr>
      </w:pPr>
    </w:p>
    <w:p w14:paraId="0B803102" w14:textId="0CE2E554" w:rsidR="005E30E1" w:rsidRDefault="00127445">
      <w:pPr>
        <w:ind w:firstLine="720"/>
        <w:contextualSpacing w:val="0"/>
        <w:jc w:val="center"/>
        <w:rPr>
          <w:rFonts w:ascii="Open Sans" w:eastAsia="Open Sans" w:hAnsi="Open Sans" w:cs="Open Sans"/>
          <w:sz w:val="24"/>
          <w:szCs w:val="24"/>
        </w:rPr>
      </w:pPr>
      <w:r>
        <w:rPr>
          <w:noProof/>
          <w:lang w:val="en-GB" w:eastAsia="en-GB"/>
        </w:rPr>
        <w:drawing>
          <wp:anchor distT="114300" distB="114300" distL="114300" distR="114300" simplePos="0" relativeHeight="251660288" behindDoc="0" locked="0" layoutInCell="1" hidden="0" allowOverlap="1" wp14:anchorId="6B5BBFF0" wp14:editId="39DF4410">
            <wp:simplePos x="0" y="0"/>
            <wp:positionH relativeFrom="column">
              <wp:posOffset>107951</wp:posOffset>
            </wp:positionH>
            <wp:positionV relativeFrom="paragraph">
              <wp:posOffset>222250</wp:posOffset>
            </wp:positionV>
            <wp:extent cx="6033112" cy="3209925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3112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E4C27D" w14:textId="34045CF2" w:rsidR="005E30E1" w:rsidRPr="0081440A" w:rsidRDefault="008D2AA5" w:rsidP="008D2AA5">
      <w:pPr>
        <w:ind w:firstLine="720"/>
        <w:contextualSpacing w:val="0"/>
        <w:rPr>
          <w:rFonts w:eastAsia="Open Sans"/>
          <w:sz w:val="24"/>
          <w:szCs w:val="24"/>
        </w:rPr>
      </w:pPr>
      <w:r w:rsidRPr="0081440A">
        <w:rPr>
          <w:rFonts w:eastAsia="Open Sans"/>
          <w:sz w:val="24"/>
          <w:szCs w:val="24"/>
          <w:lang w:bidi="fr-FR"/>
        </w:rPr>
        <w:lastRenderedPageBreak/>
        <w:t>Les utilisateurs peuvent également en apprendre davantage au sujet de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Pr="0081440A">
        <w:rPr>
          <w:rFonts w:eastAsia="Open Sans"/>
          <w:sz w:val="24"/>
          <w:szCs w:val="24"/>
          <w:lang w:bidi="fr-FR"/>
        </w:rPr>
        <w:t>indicateur choisi en sélectionnant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Pr="0081440A">
        <w:rPr>
          <w:rFonts w:eastAsia="Open Sans"/>
          <w:sz w:val="24"/>
          <w:szCs w:val="24"/>
          <w:lang w:bidi="fr-FR"/>
        </w:rPr>
        <w:t>option «</w:t>
      </w:r>
      <w:r w:rsidR="00223B9C">
        <w:rPr>
          <w:rFonts w:eastAsia="Open Sans"/>
          <w:sz w:val="24"/>
          <w:szCs w:val="24"/>
          <w:lang w:bidi="fr-FR"/>
        </w:rPr>
        <w:t> </w:t>
      </w:r>
      <w:r w:rsidRPr="0081440A">
        <w:rPr>
          <w:rFonts w:eastAsia="Open Sans"/>
          <w:sz w:val="24"/>
          <w:szCs w:val="24"/>
          <w:lang w:bidi="fr-FR"/>
        </w:rPr>
        <w:t>Afficher/Masquer la description de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Pr="0081440A">
        <w:rPr>
          <w:rFonts w:eastAsia="Open Sans"/>
          <w:sz w:val="24"/>
          <w:szCs w:val="24"/>
          <w:lang w:bidi="fr-FR"/>
        </w:rPr>
        <w:t>indicateur » (</w:t>
      </w:r>
      <w:r w:rsidR="001244B5">
        <w:rPr>
          <w:rFonts w:eastAsia="Open Sans"/>
          <w:sz w:val="24"/>
          <w:szCs w:val="24"/>
          <w:lang w:bidi="fr-FR"/>
        </w:rPr>
        <w:t>« </w:t>
      </w:r>
      <w:r w:rsidRPr="0081440A">
        <w:rPr>
          <w:rFonts w:eastAsia="Open Sans"/>
          <w:sz w:val="24"/>
          <w:szCs w:val="24"/>
          <w:lang w:bidi="fr-FR"/>
        </w:rPr>
        <w:t>Show/Hide Description of the Indicator</w:t>
      </w:r>
      <w:r w:rsidR="001244B5">
        <w:rPr>
          <w:rFonts w:eastAsia="Open Sans"/>
          <w:sz w:val="24"/>
          <w:szCs w:val="24"/>
          <w:lang w:bidi="fr-FR"/>
        </w:rPr>
        <w:t> »</w:t>
      </w:r>
      <w:r w:rsidRPr="0081440A">
        <w:rPr>
          <w:rFonts w:eastAsia="Open Sans"/>
          <w:sz w:val="24"/>
          <w:szCs w:val="24"/>
          <w:lang w:bidi="fr-FR"/>
        </w:rPr>
        <w:t>), en haut du graphique chronologique. Cet outil affiche une courte description de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Pr="0081440A">
        <w:rPr>
          <w:rFonts w:eastAsia="Open Sans"/>
          <w:sz w:val="24"/>
          <w:szCs w:val="24"/>
          <w:lang w:bidi="fr-FR"/>
        </w:rPr>
        <w:t>indicateur ainsi qu</w:t>
      </w:r>
      <w:r w:rsidR="00223B9C">
        <w:rPr>
          <w:rFonts w:eastAsia="Open Sans"/>
          <w:sz w:val="24"/>
          <w:szCs w:val="24"/>
          <w:lang w:bidi="fr-FR"/>
        </w:rPr>
        <w:t>’</w:t>
      </w:r>
      <w:r w:rsidRPr="0081440A">
        <w:rPr>
          <w:rFonts w:eastAsia="Open Sans"/>
          <w:sz w:val="24"/>
          <w:szCs w:val="24"/>
          <w:lang w:bidi="fr-FR"/>
        </w:rPr>
        <w:t>un lien vers des métadonnées donnant davantage de détails, notamment sur la méthode et les sources de données utilisées, et les limites de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Pr="0081440A">
        <w:rPr>
          <w:rFonts w:eastAsia="Open Sans"/>
          <w:sz w:val="24"/>
          <w:szCs w:val="24"/>
          <w:lang w:bidi="fr-FR"/>
        </w:rPr>
        <w:t>indicateur.</w:t>
      </w:r>
    </w:p>
    <w:p w14:paraId="56942BAA" w14:textId="787A1B16" w:rsidR="008D2AA5" w:rsidRPr="0081440A" w:rsidRDefault="008D2AA5" w:rsidP="008D2AA5">
      <w:pPr>
        <w:ind w:firstLine="720"/>
        <w:contextualSpacing w:val="0"/>
        <w:rPr>
          <w:rFonts w:eastAsia="Open Sans"/>
          <w:sz w:val="24"/>
          <w:szCs w:val="24"/>
        </w:rPr>
      </w:pPr>
      <w:r w:rsidRPr="0081440A">
        <w:rPr>
          <w:rFonts w:eastAsia="Open Sans"/>
          <w:sz w:val="24"/>
          <w:szCs w:val="24"/>
          <w:lang w:bidi="fr-FR"/>
        </w:rPr>
        <w:t>Enfin, les utilisateurs peuvent télécharger la carte affichée en cliquant sur le bouton « Télécharger la carte affichée » (</w:t>
      </w:r>
      <w:r w:rsidR="001244B5">
        <w:rPr>
          <w:rFonts w:eastAsia="Open Sans"/>
          <w:sz w:val="24"/>
          <w:szCs w:val="24"/>
          <w:lang w:bidi="fr-FR"/>
        </w:rPr>
        <w:t>« </w:t>
      </w:r>
      <w:r w:rsidRPr="0081440A">
        <w:rPr>
          <w:rFonts w:eastAsia="Open Sans"/>
          <w:sz w:val="24"/>
          <w:szCs w:val="24"/>
          <w:lang w:bidi="fr-FR"/>
        </w:rPr>
        <w:t>Download Map View</w:t>
      </w:r>
      <w:r w:rsidR="001244B5">
        <w:rPr>
          <w:rFonts w:eastAsia="Open Sans"/>
          <w:sz w:val="24"/>
          <w:szCs w:val="24"/>
          <w:lang w:bidi="fr-FR"/>
        </w:rPr>
        <w:t> »</w:t>
      </w:r>
      <w:r w:rsidRPr="0081440A">
        <w:rPr>
          <w:rFonts w:eastAsia="Open Sans"/>
          <w:sz w:val="24"/>
          <w:szCs w:val="24"/>
          <w:lang w:bidi="fr-FR"/>
        </w:rPr>
        <w:t>), dans le coin en bas à droite de leur écran, qui permet de télécharger la portion de la carte actuellement affichée dans la fenêtre.</w:t>
      </w:r>
    </w:p>
    <w:p w14:paraId="1ACA14C5" w14:textId="27239DDC" w:rsidR="008D2AA5" w:rsidRPr="0081440A" w:rsidRDefault="008D2AA5" w:rsidP="008D2AA5">
      <w:pPr>
        <w:ind w:firstLine="720"/>
        <w:contextualSpacing w:val="0"/>
        <w:rPr>
          <w:rFonts w:eastAsia="Open Sans"/>
          <w:sz w:val="24"/>
          <w:szCs w:val="24"/>
        </w:rPr>
      </w:pPr>
      <w:r w:rsidRPr="0081440A">
        <w:rPr>
          <w:rFonts w:eastAsia="Open Sans"/>
          <w:sz w:val="24"/>
          <w:szCs w:val="24"/>
          <w:lang w:bidi="fr-FR"/>
        </w:rPr>
        <w:t>D</w:t>
      </w:r>
      <w:r w:rsidR="00223B9C">
        <w:rPr>
          <w:rFonts w:eastAsia="Open Sans"/>
          <w:sz w:val="24"/>
          <w:szCs w:val="24"/>
          <w:lang w:bidi="fr-FR"/>
        </w:rPr>
        <w:t>’</w:t>
      </w:r>
      <w:r w:rsidRPr="0081440A">
        <w:rPr>
          <w:rFonts w:eastAsia="Open Sans"/>
          <w:sz w:val="24"/>
          <w:szCs w:val="24"/>
          <w:lang w:bidi="fr-FR"/>
        </w:rPr>
        <w:t>autres indicateurs, ainsi que des outils supplémentaires, notamment un « Récapitulatif du pays en PDF » et des instruments de comparaison, seront ajoutés au tableau de bord du BIP au cours des mois à venir. Vos observations sont les bienvenues, et nous restons à votre disposition pour répondre à toute question éventuelle concernant l</w:t>
      </w:r>
      <w:r w:rsidR="00223B9C">
        <w:rPr>
          <w:rFonts w:eastAsia="Open Sans"/>
          <w:sz w:val="24"/>
          <w:szCs w:val="24"/>
          <w:lang w:bidi="fr-FR"/>
        </w:rPr>
        <w:t>’</w:t>
      </w:r>
      <w:r w:rsidRPr="0081440A">
        <w:rPr>
          <w:rFonts w:eastAsia="Open Sans"/>
          <w:sz w:val="24"/>
          <w:szCs w:val="24"/>
          <w:lang w:bidi="fr-FR"/>
        </w:rPr>
        <w:t xml:space="preserve">utilisation du tableau de bord du BIP. Le cas échéant, veuillez contacter : </w:t>
      </w:r>
    </w:p>
    <w:p w14:paraId="3700AEC0" w14:textId="0B9323B7" w:rsidR="008D2AA5" w:rsidRPr="0081440A" w:rsidRDefault="008D2AA5" w:rsidP="008D2AA5">
      <w:pPr>
        <w:ind w:firstLine="720"/>
        <w:contextualSpacing w:val="0"/>
        <w:rPr>
          <w:rFonts w:eastAsia="Open Sans"/>
          <w:sz w:val="24"/>
          <w:szCs w:val="24"/>
        </w:rPr>
      </w:pPr>
      <w:r w:rsidRPr="0081440A">
        <w:rPr>
          <w:rFonts w:eastAsia="Open Sans"/>
          <w:sz w:val="24"/>
          <w:szCs w:val="24"/>
          <w:lang w:bidi="fr-FR"/>
        </w:rPr>
        <w:t>Katherine Despot-Belmonte (</w:t>
      </w:r>
      <w:hyperlink r:id="rId9" w:history="1">
        <w:r w:rsidRPr="0081440A">
          <w:rPr>
            <w:rStyle w:val="Hyperlink"/>
            <w:rFonts w:eastAsia="Open Sans"/>
            <w:sz w:val="24"/>
            <w:szCs w:val="24"/>
            <w:lang w:bidi="fr-FR"/>
          </w:rPr>
          <w:t>katherine.despot-belmonte@unep-wcmc.org</w:t>
        </w:r>
      </w:hyperlink>
      <w:r w:rsidRPr="0081440A">
        <w:rPr>
          <w:rFonts w:eastAsia="Open Sans"/>
          <w:sz w:val="24"/>
          <w:szCs w:val="24"/>
          <w:lang w:bidi="fr-FR"/>
        </w:rPr>
        <w:t>) ou</w:t>
      </w:r>
    </w:p>
    <w:p w14:paraId="006FE857" w14:textId="16DCD1A1" w:rsidR="005E30E1" w:rsidRPr="00223B9C" w:rsidRDefault="008D2AA5" w:rsidP="008D2AA5">
      <w:pPr>
        <w:ind w:firstLine="720"/>
        <w:contextualSpacing w:val="0"/>
        <w:rPr>
          <w:rFonts w:eastAsia="Open Sans"/>
          <w:color w:val="4A4A4A"/>
          <w:sz w:val="24"/>
          <w:szCs w:val="24"/>
          <w:lang w:val="en-GB"/>
        </w:rPr>
      </w:pPr>
      <w:r w:rsidRPr="00223B9C">
        <w:rPr>
          <w:rFonts w:eastAsia="Open Sans"/>
          <w:sz w:val="24"/>
          <w:szCs w:val="24"/>
          <w:lang w:val="en-GB" w:bidi="fr-FR"/>
        </w:rPr>
        <w:t>Mike Gill (</w:t>
      </w:r>
      <w:hyperlink r:id="rId10" w:history="1">
        <w:r w:rsidRPr="00223B9C">
          <w:rPr>
            <w:rStyle w:val="Hyperlink"/>
            <w:rFonts w:eastAsia="Open Sans"/>
            <w:sz w:val="24"/>
            <w:szCs w:val="24"/>
            <w:lang w:val="en-GB" w:bidi="fr-FR"/>
          </w:rPr>
          <w:t>mike.gill@natureserve.org</w:t>
        </w:r>
      </w:hyperlink>
      <w:r w:rsidRPr="00223B9C">
        <w:rPr>
          <w:rFonts w:eastAsia="Open Sans"/>
          <w:sz w:val="24"/>
          <w:szCs w:val="24"/>
          <w:lang w:val="en-GB" w:bidi="fr-FR"/>
        </w:rPr>
        <w:t>).</w:t>
      </w:r>
      <w:bookmarkStart w:id="0" w:name="_GoBack"/>
      <w:bookmarkEnd w:id="0"/>
    </w:p>
    <w:sectPr w:rsidR="005E30E1" w:rsidRPr="00223B9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0CF22F3" w16cid:durableId="1FC78B5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0E1"/>
    <w:rsid w:val="00080011"/>
    <w:rsid w:val="000B08FE"/>
    <w:rsid w:val="001244B5"/>
    <w:rsid w:val="00127445"/>
    <w:rsid w:val="00223B9C"/>
    <w:rsid w:val="00335CD0"/>
    <w:rsid w:val="003C31A3"/>
    <w:rsid w:val="00456300"/>
    <w:rsid w:val="005E30E1"/>
    <w:rsid w:val="007D4742"/>
    <w:rsid w:val="0081440A"/>
    <w:rsid w:val="008D2AA5"/>
    <w:rsid w:val="008D7546"/>
    <w:rsid w:val="009C2BC3"/>
    <w:rsid w:val="00A207B7"/>
    <w:rsid w:val="00B737F7"/>
    <w:rsid w:val="00B92C42"/>
    <w:rsid w:val="00BE456D"/>
    <w:rsid w:val="00E61025"/>
    <w:rsid w:val="00F146A2"/>
    <w:rsid w:val="00F228AF"/>
    <w:rsid w:val="00F628D4"/>
    <w:rsid w:val="00F9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5F5D8"/>
  <w15:docId w15:val="{D9525AAD-4FEC-764A-A425-13B506BB6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fr-FR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C2BC3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2AA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73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7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37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7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7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7F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C31A3"/>
    <w:pPr>
      <w:spacing w:line="240" w:lineRule="auto"/>
      <w:contextualSpacing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bipdashboard.natureserve.org/bip" TargetMode="External"/><Relationship Id="rId10" Type="http://schemas.openxmlformats.org/officeDocument/2006/relationships/hyperlink" Target="mailto:mike.gill@natureserve.org" TargetMode="External"/><Relationship Id="rId4" Type="http://schemas.openxmlformats.org/officeDocument/2006/relationships/hyperlink" Target="https://www.bipindicators.net" TargetMode="External"/><Relationship Id="rId9" Type="http://schemas.openxmlformats.org/officeDocument/2006/relationships/hyperlink" Target="mailto:katherine.despot-belmonte@unep-wcm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Gill</dc:creator>
  <cp:lastModifiedBy>Katherine Moul</cp:lastModifiedBy>
  <cp:revision>7</cp:revision>
  <dcterms:created xsi:type="dcterms:W3CDTF">2018-12-10T14:36:00Z</dcterms:created>
  <dcterms:modified xsi:type="dcterms:W3CDTF">2018-12-21T17:15:00Z</dcterms:modified>
</cp:coreProperties>
</file>